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605B6F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605B6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013783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Rwanda</w:t>
            </w:r>
            <w:bookmarkEnd w:id="2"/>
            <w:r w:rsidRPr="002F6A28">
              <w:t xml:space="preserve"> </w:t>
            </w:r>
          </w:p>
          <w:p w:rsidR="00F85C99" w:rsidRPr="002F6A28" w:rsidRDefault="00605B6F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Rwanda Standards Board (RSB)</w:t>
            </w:r>
            <w:bookmarkEnd w:id="6"/>
          </w:p>
          <w:p w:rsidR="00F85C99" w:rsidRPr="002F6A28" w:rsidRDefault="00605B6F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</w:p>
          <w:p w:rsidR="00295960" w:rsidRPr="002F6A28" w:rsidRDefault="00605B6F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8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605B6F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Cheese (ICS 67.100.30)</w:t>
            </w:r>
            <w:bookmarkStart w:id="21" w:name="sps3a"/>
            <w:bookmarkEnd w:id="21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DEAS 1012: 2019 Cheese — Specification — Mozzarella cheese (12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mozzarella cheese intended for direct consumption or for further processing.</w:t>
            </w:r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8" w:name="sps7f"/>
            <w:bookmarkEnd w:id="28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605B6F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926.08, Loss on drying (moisture) in cheese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AOAC</w:t>
            </w:r>
            <w:proofErr w:type="spellEnd"/>
            <w:r w:rsidRPr="002F6A28">
              <w:rPr>
                <w:bCs/>
              </w:rPr>
              <w:t xml:space="preserve"> 980.21, Aflatoxin M1 in milk and cheese, Thin–layer chromatography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38, Labelling of pre-packaged foods — General requirements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283, General standard for cheese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1735, Cheese and processed cheese products — Determination of fat content — Gravimetric method (Reference method)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4832, Microbiology of food and animal feeding stuffs — Horizontal method for the enumeration of coliforms — Colony-count technique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6579-1, Microbiology of the food chain — Horizontal method for the detection, enumeration and serotyping of salmonella — Part 1: Detection of salmonella SPP.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16649-2, Microbiology of food and animal feeding stuffs — Horizontal method for the enumeration of betaglucuronidase-positive Escherichia coli — Part 2: Colony-count technique at 44 degrees C using 5-bromo-4-chloro-3-indolyl beta-D-glucuronide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6611, Milk and milk products — Enumeration of colony-forming units of yeasts and/or moulds —Colonycount technique at 25 degrees C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6888-1, Microbiology of food and animal feeding stuffs — Horizontal method for the enumeration of coagulase-positive staphylococci (Staphylococcus aureus and other species) — Part 1: Technique using Baird-Parker agar medium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11290-2, Microbiology of the food chain — Horizontal method for the detection and enumeration of Listeria monocytogenes and of Listeria SPP. — Part 2: Enumeration method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707, Milk and milk products — Guidance on sampling</w:t>
            </w:r>
          </w:p>
          <w:p w:rsidR="00605B6F" w:rsidRDefault="00605B6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8197, Milk and milk products — Sampling — Inspection by variables</w:t>
            </w:r>
          </w:p>
          <w:p w:rsidR="00F85C99" w:rsidRPr="002F6A28" w:rsidRDefault="00605B6F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5738, Milk and milk products — Determination of copper content — Photometric method (reference method)</w:t>
            </w:r>
          </w:p>
        </w:tc>
      </w:tr>
      <w:tr w:rsidR="00013783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05B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05B6F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To be determined</w:t>
            </w:r>
            <w:bookmarkEnd w:id="32"/>
          </w:p>
          <w:p w:rsidR="00EE3A11" w:rsidRPr="002F6A28" w:rsidRDefault="00605B6F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to be determined</w:t>
            </w:r>
            <w:bookmarkEnd w:id="35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05B6F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013783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05B6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05B6F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295960" w:rsidRPr="002F6A28" w:rsidRDefault="00605B6F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295960" w:rsidRPr="002F6A28" w:rsidRDefault="003D655A" w:rsidP="00B16145">
            <w:pPr>
              <w:keepNext/>
              <w:keepLines/>
              <w:spacing w:before="120" w:after="120"/>
            </w:pPr>
            <w:hyperlink r:id="rId11" w:history="1">
              <w:r w:rsidR="00605B6F" w:rsidRPr="002F6A28">
                <w:rPr>
                  <w:color w:val="0000FF"/>
                  <w:u w:val="single"/>
                </w:rPr>
                <w:t>https://members.wto.org/crnattachments/2020/TBT/RWA/20_0182_00_e.pdf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D5C" w:rsidRDefault="00605B6F">
      <w:r>
        <w:separator/>
      </w:r>
    </w:p>
  </w:endnote>
  <w:endnote w:type="continuationSeparator" w:id="0">
    <w:p w:rsidR="00C05D5C" w:rsidRDefault="0060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05B6F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05B6F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605B6F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D5C" w:rsidRDefault="00605B6F">
      <w:r>
        <w:separator/>
      </w:r>
    </w:p>
  </w:footnote>
  <w:footnote w:type="continuationSeparator" w:id="0">
    <w:p w:rsidR="00C05D5C" w:rsidRDefault="00605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05B6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05B6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05B6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G/TBT/N/RWA/310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05B6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13783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013783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605B6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233900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013783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605B6F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G/TBT/N/RWA/310</w:t>
          </w:r>
          <w:bookmarkEnd w:id="44"/>
        </w:p>
      </w:tc>
    </w:tr>
    <w:tr w:rsidR="00013783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05B6F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013783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05B6F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3D655A">
            <w:rPr>
              <w:color w:val="FF0000"/>
              <w:szCs w:val="16"/>
            </w:rPr>
            <w:t>0141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05B6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013783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05B6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605B6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D1067C2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72E111A" w:tentative="1">
      <w:start w:val="1"/>
      <w:numFmt w:val="lowerLetter"/>
      <w:lvlText w:val="%2."/>
      <w:lvlJc w:val="left"/>
      <w:pPr>
        <w:ind w:left="1080" w:hanging="360"/>
      </w:pPr>
    </w:lvl>
    <w:lvl w:ilvl="2" w:tplc="558C4812" w:tentative="1">
      <w:start w:val="1"/>
      <w:numFmt w:val="lowerRoman"/>
      <w:lvlText w:val="%3."/>
      <w:lvlJc w:val="right"/>
      <w:pPr>
        <w:ind w:left="1800" w:hanging="180"/>
      </w:pPr>
    </w:lvl>
    <w:lvl w:ilvl="3" w:tplc="3DDA6870" w:tentative="1">
      <w:start w:val="1"/>
      <w:numFmt w:val="decimal"/>
      <w:lvlText w:val="%4."/>
      <w:lvlJc w:val="left"/>
      <w:pPr>
        <w:ind w:left="2520" w:hanging="360"/>
      </w:pPr>
    </w:lvl>
    <w:lvl w:ilvl="4" w:tplc="1FCA0A9A" w:tentative="1">
      <w:start w:val="1"/>
      <w:numFmt w:val="lowerLetter"/>
      <w:lvlText w:val="%5."/>
      <w:lvlJc w:val="left"/>
      <w:pPr>
        <w:ind w:left="3240" w:hanging="360"/>
      </w:pPr>
    </w:lvl>
    <w:lvl w:ilvl="5" w:tplc="F4A0415A" w:tentative="1">
      <w:start w:val="1"/>
      <w:numFmt w:val="lowerRoman"/>
      <w:lvlText w:val="%6."/>
      <w:lvlJc w:val="right"/>
      <w:pPr>
        <w:ind w:left="3960" w:hanging="180"/>
      </w:pPr>
    </w:lvl>
    <w:lvl w:ilvl="6" w:tplc="7750C624" w:tentative="1">
      <w:start w:val="1"/>
      <w:numFmt w:val="decimal"/>
      <w:lvlText w:val="%7."/>
      <w:lvlJc w:val="left"/>
      <w:pPr>
        <w:ind w:left="4680" w:hanging="360"/>
      </w:pPr>
    </w:lvl>
    <w:lvl w:ilvl="7" w:tplc="000C0C7C" w:tentative="1">
      <w:start w:val="1"/>
      <w:numFmt w:val="lowerLetter"/>
      <w:lvlText w:val="%8."/>
      <w:lvlJc w:val="left"/>
      <w:pPr>
        <w:ind w:left="5400" w:hanging="360"/>
      </w:pPr>
    </w:lvl>
    <w:lvl w:ilvl="8" w:tplc="304056C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13783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3622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95960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87CCA"/>
    <w:rsid w:val="00396AF4"/>
    <w:rsid w:val="003B2BBF"/>
    <w:rsid w:val="003B40C7"/>
    <w:rsid w:val="003D655A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05B6F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05D5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86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2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3103</Characters>
  <Application>Microsoft Office Word</Application>
  <DocSecurity>0</DocSecurity>
  <Lines>76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2020-01-08T10:52:00Z</dcterms:created>
  <dcterms:modified xsi:type="dcterms:W3CDTF">2020-01-08T11:49:00Z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